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31C2" w14:textId="77777777"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2272540" w:rsidR="001541DB" w:rsidRPr="00F912F5" w:rsidRDefault="00F64E2A"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198D048F">
                <wp:simplePos x="0" y="0"/>
                <wp:positionH relativeFrom="column">
                  <wp:posOffset>156845</wp:posOffset>
                </wp:positionH>
                <wp:positionV relativeFrom="paragraph">
                  <wp:posOffset>196850</wp:posOffset>
                </wp:positionV>
                <wp:extent cx="6729095" cy="7409180"/>
                <wp:effectExtent l="0" t="0" r="14605" b="2032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740918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A67621" id="Group 3" o:spid="_x0000_s1026" style="position:absolute;margin-left:12.35pt;margin-top:15.5pt;width:529.85pt;height:583.4pt;z-index:251677696;mso-height-relative:margin" coordsize="67288,60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">
                <v:shape id="Left Bracket 30" o:spid="_x0000_s1027" style="position:absolute;width:33756;height:60280;visibility:visible;mso-wrap-style:square;v-text-anchor:middle" coordsize="3376250,602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&#13;&#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&#13;&#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2"/>
      </w:tblGrid>
      <w:tr w:rsidR="001541DB" w14:paraId="4B67ED03" w14:textId="77777777" w:rsidTr="00440C4F">
        <w:trPr>
          <w:trHeight w:val="567"/>
        </w:trPr>
        <w:tc>
          <w:tcPr>
            <w:tcW w:w="10242" w:type="dxa"/>
            <w:tcBorders>
              <w:bottom w:val="single" w:sz="4" w:space="0" w:color="C00000"/>
            </w:tcBorders>
            <w:shd w:val="clear" w:color="auto" w:fill="auto"/>
            <w:vAlign w:val="center"/>
          </w:tcPr>
          <w:p w14:paraId="2CF79F87" w14:textId="763B7780" w:rsidR="00CE1FEF" w:rsidRPr="00F7518B" w:rsidRDefault="007C6E04" w:rsidP="00F7518B">
            <w:pPr>
              <w:jc w:val="center"/>
              <w:rPr>
                <w:rFonts w:cstheme="minorHAnsi"/>
                <w:b/>
                <w:sz w:val="32"/>
                <w:szCs w:val="32"/>
              </w:rPr>
            </w:pPr>
            <w:r w:rsidRPr="00F7518B">
              <w:rPr>
                <w:rFonts w:cstheme="minorHAnsi"/>
                <w:b/>
                <w:sz w:val="32"/>
                <w:szCs w:val="32"/>
              </w:rPr>
              <w:t xml:space="preserve">A </w:t>
            </w:r>
            <w:r w:rsidR="00CE1FEF" w:rsidRPr="00F7518B">
              <w:rPr>
                <w:rFonts w:cstheme="minorHAnsi"/>
                <w:b/>
                <w:sz w:val="32"/>
                <w:szCs w:val="32"/>
              </w:rPr>
              <w:t>One</w:t>
            </w:r>
            <w:r w:rsidRPr="00F7518B">
              <w:rPr>
                <w:rFonts w:cstheme="minorHAnsi"/>
                <w:b/>
                <w:sz w:val="32"/>
                <w:szCs w:val="32"/>
              </w:rPr>
              <w:t xml:space="preserve">-Hour </w:t>
            </w:r>
            <w:r w:rsidR="0016133F">
              <w:rPr>
                <w:rFonts w:cstheme="minorHAnsi"/>
                <w:b/>
                <w:sz w:val="32"/>
                <w:szCs w:val="32"/>
              </w:rPr>
              <w:t xml:space="preserve">Live </w:t>
            </w:r>
            <w:r w:rsidRPr="00F7518B">
              <w:rPr>
                <w:rFonts w:cstheme="minorHAnsi"/>
                <w:b/>
                <w:sz w:val="32"/>
                <w:szCs w:val="32"/>
              </w:rPr>
              <w:t>CE Program!</w:t>
            </w:r>
          </w:p>
          <w:p w14:paraId="340553AD" w14:textId="300AE4C8" w:rsidR="00F7518B" w:rsidRPr="00A0259C" w:rsidRDefault="00F7518B" w:rsidP="00CE1FEF">
            <w:pPr>
              <w:jc w:val="center"/>
              <w:rPr>
                <w:rFonts w:cstheme="minorHAnsi"/>
                <w:b/>
                <w:sz w:val="32"/>
                <w:szCs w:val="32"/>
              </w:rPr>
            </w:pPr>
          </w:p>
        </w:tc>
      </w:tr>
      <w:tr w:rsidR="00E052B0" w14:paraId="3127E6C9" w14:textId="77777777" w:rsidTr="00440C4F">
        <w:trPr>
          <w:trHeight w:val="1493"/>
        </w:trPr>
        <w:tc>
          <w:tcPr>
            <w:tcW w:w="10242" w:type="dxa"/>
            <w:tcBorders>
              <w:top w:val="single" w:sz="4" w:space="0" w:color="C00000"/>
              <w:bottom w:val="single" w:sz="4" w:space="0" w:color="C00000"/>
            </w:tcBorders>
            <w:shd w:val="clear" w:color="auto" w:fill="auto"/>
            <w:vAlign w:val="center"/>
          </w:tcPr>
          <w:p w14:paraId="2FCA2B56" w14:textId="77777777" w:rsidR="007C6E04" w:rsidRPr="00E052B0" w:rsidRDefault="007C6E04" w:rsidP="007C6E04">
            <w:pPr>
              <w:jc w:val="center"/>
              <w:rPr>
                <w:rFonts w:cstheme="minorHAnsi"/>
                <w:b/>
                <w:i/>
                <w:sz w:val="32"/>
                <w:szCs w:val="32"/>
                <w:u w:val="single"/>
              </w:rPr>
            </w:pPr>
            <w:r w:rsidRPr="00E052B0">
              <w:rPr>
                <w:rFonts w:cstheme="minorHAnsi"/>
                <w:b/>
                <w:i/>
                <w:sz w:val="32"/>
                <w:szCs w:val="32"/>
                <w:u w:val="single"/>
              </w:rPr>
              <w:t>On:</w:t>
            </w:r>
          </w:p>
          <w:p w14:paraId="79ED3CAF" w14:textId="35037BDD" w:rsidR="007C6E04" w:rsidRPr="0049540C" w:rsidRDefault="007C6E04" w:rsidP="007C6E04">
            <w:pPr>
              <w:jc w:val="center"/>
              <w:rPr>
                <w:rFonts w:cstheme="minorHAnsi"/>
                <w:sz w:val="32"/>
                <w:szCs w:val="32"/>
              </w:rPr>
            </w:pPr>
            <w:r>
              <w:rPr>
                <w:rFonts w:cstheme="minorHAnsi"/>
                <w:sz w:val="32"/>
                <w:szCs w:val="32"/>
              </w:rPr>
              <w:t xml:space="preserve">Tuesday, </w:t>
            </w:r>
            <w:r w:rsidR="00F7518B">
              <w:rPr>
                <w:rFonts w:cstheme="minorHAnsi"/>
                <w:sz w:val="32"/>
                <w:szCs w:val="32"/>
              </w:rPr>
              <w:t xml:space="preserve"> </w:t>
            </w:r>
            <w:r w:rsidR="009E4C03">
              <w:rPr>
                <w:rFonts w:cstheme="minorHAnsi"/>
                <w:sz w:val="32"/>
                <w:szCs w:val="32"/>
              </w:rPr>
              <w:t>May</w:t>
            </w:r>
            <w:r w:rsidR="001762FA">
              <w:rPr>
                <w:rFonts w:cstheme="minorHAnsi"/>
                <w:sz w:val="32"/>
                <w:szCs w:val="32"/>
              </w:rPr>
              <w:t xml:space="preserve"> </w:t>
            </w:r>
            <w:r w:rsidR="009E4C03">
              <w:rPr>
                <w:rFonts w:cstheme="minorHAnsi"/>
                <w:sz w:val="32"/>
                <w:szCs w:val="32"/>
              </w:rPr>
              <w:t>21</w:t>
            </w:r>
            <w:r>
              <w:rPr>
                <w:rFonts w:cstheme="minorHAnsi"/>
                <w:sz w:val="32"/>
                <w:szCs w:val="32"/>
              </w:rPr>
              <w:t>, 20</w:t>
            </w:r>
            <w:r w:rsidR="00683E6A">
              <w:rPr>
                <w:rFonts w:cstheme="minorHAnsi"/>
                <w:sz w:val="32"/>
                <w:szCs w:val="32"/>
              </w:rPr>
              <w:t>24</w:t>
            </w:r>
          </w:p>
          <w:p w14:paraId="1B64EBDD" w14:textId="77777777" w:rsidR="00CE1FEF" w:rsidRDefault="00051697" w:rsidP="00CE1FEF">
            <w:pPr>
              <w:jc w:val="center"/>
              <w:rPr>
                <w:rFonts w:cstheme="minorHAnsi"/>
                <w:b/>
                <w:sz w:val="32"/>
                <w:szCs w:val="32"/>
              </w:rPr>
            </w:pPr>
            <w:r w:rsidRPr="00F7518B">
              <w:rPr>
                <w:rFonts w:cstheme="minorHAnsi"/>
                <w:b/>
                <w:sz w:val="32"/>
                <w:szCs w:val="32"/>
              </w:rPr>
              <w:t>5</w:t>
            </w:r>
            <w:r w:rsidR="00F7518B" w:rsidRPr="00F7518B">
              <w:rPr>
                <w:rFonts w:cstheme="minorHAnsi"/>
                <w:b/>
                <w:sz w:val="32"/>
                <w:szCs w:val="32"/>
              </w:rPr>
              <w:t>:30</w:t>
            </w:r>
            <w:r w:rsidR="00CE1FEF" w:rsidRPr="00F7518B">
              <w:rPr>
                <w:rFonts w:cstheme="minorHAnsi"/>
                <w:b/>
                <w:sz w:val="32"/>
                <w:szCs w:val="32"/>
              </w:rPr>
              <w:t>-</w:t>
            </w:r>
            <w:r w:rsidR="0016133F">
              <w:rPr>
                <w:rFonts w:cstheme="minorHAnsi"/>
                <w:b/>
                <w:sz w:val="32"/>
                <w:szCs w:val="32"/>
              </w:rPr>
              <w:t>7</w:t>
            </w:r>
            <w:r w:rsidR="00F7518B" w:rsidRPr="00F7518B">
              <w:rPr>
                <w:rFonts w:cstheme="minorHAnsi"/>
                <w:b/>
                <w:sz w:val="32"/>
                <w:szCs w:val="32"/>
              </w:rPr>
              <w:t>:</w:t>
            </w:r>
            <w:r w:rsidRPr="00F7518B">
              <w:rPr>
                <w:rFonts w:cstheme="minorHAnsi"/>
                <w:b/>
                <w:sz w:val="32"/>
                <w:szCs w:val="32"/>
              </w:rPr>
              <w:t>30</w:t>
            </w:r>
            <w:r w:rsidR="00F7518B" w:rsidRPr="00F7518B">
              <w:rPr>
                <w:rFonts w:cstheme="minorHAnsi"/>
                <w:b/>
                <w:sz w:val="32"/>
                <w:szCs w:val="32"/>
              </w:rPr>
              <w:t xml:space="preserve"> </w:t>
            </w:r>
            <w:r w:rsidR="00CE1FEF" w:rsidRPr="00F7518B">
              <w:rPr>
                <w:rFonts w:cstheme="minorHAnsi"/>
                <w:b/>
                <w:sz w:val="32"/>
                <w:szCs w:val="32"/>
              </w:rPr>
              <w:t>PM</w:t>
            </w:r>
          </w:p>
          <w:p w14:paraId="33E8AC2A" w14:textId="77777777" w:rsidR="0016133F" w:rsidRPr="0016133F" w:rsidRDefault="0016133F" w:rsidP="00CE1FEF">
            <w:pPr>
              <w:jc w:val="center"/>
              <w:rPr>
                <w:rFonts w:cstheme="minorHAnsi"/>
                <w:bCs/>
                <w:sz w:val="32"/>
                <w:szCs w:val="32"/>
              </w:rPr>
            </w:pPr>
            <w:r w:rsidRPr="0016133F">
              <w:rPr>
                <w:rFonts w:cstheme="minorHAnsi"/>
                <w:bCs/>
                <w:sz w:val="32"/>
                <w:szCs w:val="32"/>
              </w:rPr>
              <w:t>Joey’s Pizzeria</w:t>
            </w:r>
          </w:p>
          <w:p w14:paraId="53279910" w14:textId="540DC665" w:rsidR="0016133F" w:rsidRPr="00F7518B" w:rsidRDefault="0016133F" w:rsidP="00CE1FEF">
            <w:pPr>
              <w:jc w:val="center"/>
              <w:rPr>
                <w:rFonts w:cstheme="minorHAnsi"/>
                <w:b/>
                <w:sz w:val="32"/>
                <w:szCs w:val="32"/>
              </w:rPr>
            </w:pPr>
            <w:r w:rsidRPr="0016133F">
              <w:rPr>
                <w:rFonts w:cstheme="minorHAnsi"/>
                <w:bCs/>
                <w:sz w:val="32"/>
                <w:szCs w:val="32"/>
              </w:rPr>
              <w:t>200 Oak Hill Ave, Endicott, NY 13760</w:t>
            </w:r>
          </w:p>
        </w:tc>
      </w:tr>
      <w:tr w:rsidR="00E052B0" w14:paraId="4007091A" w14:textId="77777777" w:rsidTr="00440C4F">
        <w:trPr>
          <w:trHeight w:val="1898"/>
        </w:trPr>
        <w:tc>
          <w:tcPr>
            <w:tcW w:w="10242" w:type="dxa"/>
            <w:tcBorders>
              <w:top w:val="single" w:sz="4" w:space="0" w:color="C00000"/>
              <w:bottom w:val="single" w:sz="4" w:space="0" w:color="C00000"/>
            </w:tcBorders>
            <w:shd w:val="clear" w:color="auto" w:fill="auto"/>
            <w:vAlign w:val="center"/>
          </w:tcPr>
          <w:p w14:paraId="465960F7" w14:textId="77777777" w:rsidR="00F7518B" w:rsidRDefault="00F7518B" w:rsidP="00CE1FEF">
            <w:pPr>
              <w:jc w:val="center"/>
              <w:rPr>
                <w:rFonts w:cstheme="minorHAnsi"/>
                <w:b/>
                <w:sz w:val="32"/>
                <w:szCs w:val="32"/>
              </w:rPr>
            </w:pPr>
          </w:p>
          <w:p w14:paraId="0EEF5313" w14:textId="63CEC5A4" w:rsidR="007C6E04" w:rsidRPr="00F7518B" w:rsidRDefault="0016133F" w:rsidP="009E4C03">
            <w:pPr>
              <w:jc w:val="center"/>
              <w:rPr>
                <w:rFonts w:cstheme="minorHAnsi"/>
                <w:b/>
                <w:i/>
                <w:sz w:val="32"/>
                <w:szCs w:val="32"/>
              </w:rPr>
            </w:pPr>
            <w:r>
              <w:rPr>
                <w:rFonts w:cstheme="minorHAnsi"/>
                <w:b/>
                <w:i/>
                <w:sz w:val="32"/>
                <w:szCs w:val="32"/>
              </w:rPr>
              <w:t>“</w:t>
            </w:r>
            <w:r w:rsidR="009E4C03" w:rsidRPr="009E4C03">
              <w:rPr>
                <w:rFonts w:cstheme="minorHAnsi"/>
                <w:b/>
                <w:i/>
                <w:sz w:val="32"/>
                <w:szCs w:val="32"/>
              </w:rPr>
              <w:t>Heart Failure with Preserved Ejection Fraction: A Review of Guidelines</w:t>
            </w:r>
            <w:r w:rsidR="009E4C03">
              <w:rPr>
                <w:rFonts w:cstheme="minorHAnsi"/>
                <w:b/>
                <w:i/>
                <w:sz w:val="32"/>
                <w:szCs w:val="32"/>
              </w:rPr>
              <w:t>”</w:t>
            </w:r>
          </w:p>
          <w:p w14:paraId="290F05C7" w14:textId="77777777" w:rsidR="00CE1FEF" w:rsidRDefault="00CE1FEF" w:rsidP="00CE1FEF">
            <w:pPr>
              <w:jc w:val="center"/>
              <w:rPr>
                <w:rFonts w:cstheme="minorHAnsi"/>
                <w:b/>
                <w:sz w:val="32"/>
                <w:szCs w:val="32"/>
              </w:rPr>
            </w:pPr>
          </w:p>
          <w:p w14:paraId="0E52C271" w14:textId="6DE9C968" w:rsidR="007C6E04" w:rsidRPr="00E052B0" w:rsidRDefault="007C6E04" w:rsidP="00CE1FEF">
            <w:pPr>
              <w:jc w:val="center"/>
              <w:rPr>
                <w:rFonts w:cstheme="minorHAnsi"/>
                <w:b/>
                <w:i/>
                <w:sz w:val="32"/>
                <w:szCs w:val="32"/>
                <w:u w:val="single"/>
              </w:rPr>
            </w:pPr>
            <w:r w:rsidRPr="00E052B0">
              <w:rPr>
                <w:rFonts w:cstheme="minorHAnsi"/>
                <w:b/>
                <w:i/>
                <w:sz w:val="32"/>
                <w:szCs w:val="32"/>
                <w:u w:val="single"/>
              </w:rPr>
              <w:t>Speaker:</w:t>
            </w:r>
          </w:p>
          <w:p w14:paraId="19CA7D16" w14:textId="1F57D07C" w:rsidR="00F7518B" w:rsidRDefault="009E4C03" w:rsidP="00E3250C">
            <w:pPr>
              <w:jc w:val="center"/>
              <w:rPr>
                <w:rFonts w:cstheme="minorHAnsi"/>
                <w:sz w:val="28"/>
                <w:szCs w:val="32"/>
              </w:rPr>
            </w:pPr>
            <w:r>
              <w:rPr>
                <w:rFonts w:cstheme="minorHAnsi"/>
                <w:sz w:val="28"/>
                <w:szCs w:val="32"/>
              </w:rPr>
              <w:t xml:space="preserve">Andrea </w:t>
            </w:r>
            <w:proofErr w:type="spellStart"/>
            <w:r>
              <w:rPr>
                <w:rFonts w:cstheme="minorHAnsi"/>
                <w:sz w:val="28"/>
                <w:szCs w:val="32"/>
              </w:rPr>
              <w:t>Noldy</w:t>
            </w:r>
            <w:proofErr w:type="spellEnd"/>
            <w:r w:rsidR="0016133F">
              <w:rPr>
                <w:rFonts w:cstheme="minorHAnsi"/>
                <w:sz w:val="28"/>
                <w:szCs w:val="32"/>
              </w:rPr>
              <w:t>,</w:t>
            </w:r>
            <w:r w:rsidR="00F7518B" w:rsidRPr="00F7518B">
              <w:rPr>
                <w:rFonts w:cstheme="minorHAnsi"/>
                <w:sz w:val="28"/>
                <w:szCs w:val="32"/>
              </w:rPr>
              <w:t xml:space="preserve"> PharmD </w:t>
            </w:r>
          </w:p>
          <w:p w14:paraId="5B5F0927" w14:textId="1903DC2A" w:rsidR="007C6E04" w:rsidRDefault="00F7518B" w:rsidP="00CE1FEF">
            <w:pPr>
              <w:jc w:val="center"/>
              <w:rPr>
                <w:rFonts w:cstheme="minorHAnsi"/>
                <w:sz w:val="28"/>
                <w:szCs w:val="32"/>
              </w:rPr>
            </w:pPr>
            <w:r>
              <w:rPr>
                <w:rFonts w:cstheme="minorHAnsi"/>
                <w:sz w:val="28"/>
                <w:szCs w:val="32"/>
              </w:rPr>
              <w:t>PGY</w:t>
            </w:r>
            <w:r w:rsidR="0016133F">
              <w:rPr>
                <w:rFonts w:cstheme="minorHAnsi"/>
                <w:sz w:val="28"/>
                <w:szCs w:val="32"/>
              </w:rPr>
              <w:t>1</w:t>
            </w:r>
            <w:r>
              <w:rPr>
                <w:rFonts w:cstheme="minorHAnsi"/>
                <w:sz w:val="28"/>
                <w:szCs w:val="32"/>
              </w:rPr>
              <w:t xml:space="preserve"> </w:t>
            </w:r>
            <w:r w:rsidR="0016133F">
              <w:rPr>
                <w:rFonts w:cstheme="minorHAnsi"/>
                <w:sz w:val="28"/>
                <w:szCs w:val="32"/>
              </w:rPr>
              <w:t>Pharmacy</w:t>
            </w:r>
            <w:r>
              <w:rPr>
                <w:rFonts w:cstheme="minorHAnsi"/>
                <w:sz w:val="28"/>
                <w:szCs w:val="32"/>
              </w:rPr>
              <w:t xml:space="preserve"> Resident</w:t>
            </w:r>
          </w:p>
          <w:p w14:paraId="0093C55C" w14:textId="536A7F4E" w:rsidR="00F7518B" w:rsidRPr="00E052B0" w:rsidRDefault="008C5139" w:rsidP="0016133F">
            <w:pPr>
              <w:jc w:val="center"/>
              <w:rPr>
                <w:rFonts w:cstheme="minorHAnsi"/>
                <w:sz w:val="32"/>
                <w:szCs w:val="32"/>
              </w:rPr>
            </w:pPr>
            <w:r>
              <w:rPr>
                <w:rFonts w:cstheme="minorHAnsi"/>
                <w:sz w:val="32"/>
                <w:szCs w:val="32"/>
              </w:rPr>
              <w:t>Guthrie Robert Packer Hospital, Sayre, PA</w:t>
            </w:r>
            <w:r w:rsidR="00F7518B">
              <w:rPr>
                <w:rFonts w:cstheme="minorHAnsi"/>
                <w:sz w:val="32"/>
                <w:szCs w:val="32"/>
              </w:rPr>
              <w:t xml:space="preserve"> </w:t>
            </w:r>
          </w:p>
        </w:tc>
      </w:tr>
      <w:tr w:rsidR="00833D48" w14:paraId="512936B3" w14:textId="77777777" w:rsidTr="00440C4F">
        <w:trPr>
          <w:trHeight w:val="2753"/>
        </w:trPr>
        <w:tc>
          <w:tcPr>
            <w:tcW w:w="10242" w:type="dxa"/>
            <w:tcBorders>
              <w:top w:val="single" w:sz="4" w:space="0" w:color="C00000"/>
              <w:bottom w:val="single" w:sz="4" w:space="0" w:color="C00000"/>
            </w:tcBorders>
            <w:shd w:val="clear" w:color="auto" w:fill="auto"/>
            <w:vAlign w:val="center"/>
          </w:tcPr>
          <w:p w14:paraId="49A80804" w14:textId="64643C0A" w:rsidR="00CE1FEF" w:rsidRPr="00F7518B" w:rsidRDefault="004A67C4" w:rsidP="00F7518B">
            <w:pPr>
              <w:spacing w:before="120" w:after="120"/>
              <w:jc w:val="center"/>
              <w:rPr>
                <w:rFonts w:cstheme="minorHAnsi"/>
                <w:bCs/>
                <w:sz w:val="28"/>
                <w:szCs w:val="28"/>
              </w:rPr>
            </w:pPr>
            <w:r w:rsidRPr="00CE1FEF">
              <w:rPr>
                <w:rFonts w:cstheme="minorHAnsi"/>
                <w:b/>
                <w:sz w:val="28"/>
                <w:szCs w:val="28"/>
              </w:rPr>
              <w:t xml:space="preserve">Targeted Audience: </w:t>
            </w:r>
            <w:r w:rsidRPr="00CE1FEF">
              <w:rPr>
                <w:rFonts w:cstheme="minorHAnsi"/>
                <w:bCs/>
                <w:sz w:val="28"/>
                <w:szCs w:val="28"/>
              </w:rPr>
              <w:t>Pharmacists</w:t>
            </w:r>
            <w:r w:rsidR="0016133F">
              <w:rPr>
                <w:rFonts w:cstheme="minorHAnsi"/>
                <w:bCs/>
                <w:sz w:val="28"/>
                <w:szCs w:val="28"/>
              </w:rPr>
              <w:t xml:space="preserve">, </w:t>
            </w:r>
            <w:r w:rsidRPr="00CE1FEF">
              <w:rPr>
                <w:rFonts w:cstheme="minorHAnsi"/>
                <w:bCs/>
                <w:sz w:val="28"/>
                <w:szCs w:val="28"/>
              </w:rPr>
              <w:t>Pharmacy Technicians</w:t>
            </w:r>
            <w:r w:rsidR="0016133F">
              <w:rPr>
                <w:rFonts w:cstheme="minorHAnsi"/>
                <w:bCs/>
                <w:sz w:val="28"/>
                <w:szCs w:val="28"/>
              </w:rPr>
              <w:t xml:space="preserve"> and Pharmacy Students</w:t>
            </w:r>
          </w:p>
          <w:p w14:paraId="2B751194" w14:textId="77777777" w:rsidR="0016133F" w:rsidRDefault="0016133F" w:rsidP="007C6E04">
            <w:pPr>
              <w:jc w:val="center"/>
              <w:rPr>
                <w:rFonts w:cstheme="minorHAnsi"/>
                <w:b/>
                <w:sz w:val="32"/>
                <w:szCs w:val="32"/>
              </w:rPr>
            </w:pPr>
            <w:r>
              <w:rPr>
                <w:rFonts w:cstheme="minorHAnsi"/>
                <w:b/>
                <w:sz w:val="32"/>
                <w:szCs w:val="32"/>
              </w:rPr>
              <w:t>Admission for Non-Members is $10</w:t>
            </w:r>
          </w:p>
          <w:p w14:paraId="1C083A18" w14:textId="45302DF0" w:rsidR="00A0259C" w:rsidRDefault="005E5707" w:rsidP="007C6E04">
            <w:pPr>
              <w:jc w:val="center"/>
              <w:rPr>
                <w:rFonts w:cstheme="minorHAnsi"/>
                <w:b/>
                <w:sz w:val="32"/>
                <w:szCs w:val="32"/>
              </w:rPr>
            </w:pPr>
            <w:r w:rsidRPr="0016133F">
              <w:rPr>
                <w:rFonts w:cstheme="minorHAnsi"/>
                <w:b/>
                <w:sz w:val="32"/>
                <w:szCs w:val="32"/>
                <w:u w:val="single"/>
              </w:rPr>
              <w:t>FRE</w:t>
            </w:r>
            <w:r w:rsidR="007C6E04" w:rsidRPr="0016133F">
              <w:rPr>
                <w:rFonts w:cstheme="minorHAnsi"/>
                <w:b/>
                <w:sz w:val="32"/>
                <w:szCs w:val="32"/>
                <w:u w:val="single"/>
              </w:rPr>
              <w:t>E for</w:t>
            </w:r>
            <w:r w:rsidR="007C6E04">
              <w:rPr>
                <w:rFonts w:cstheme="minorHAnsi"/>
                <w:b/>
                <w:sz w:val="32"/>
                <w:szCs w:val="32"/>
              </w:rPr>
              <w:t xml:space="preserve"> </w:t>
            </w:r>
            <w:r w:rsidR="007C6E04" w:rsidRPr="0016133F">
              <w:rPr>
                <w:rFonts w:cstheme="minorHAnsi"/>
                <w:b/>
                <w:sz w:val="32"/>
                <w:szCs w:val="32"/>
                <w:u w:val="single"/>
              </w:rPr>
              <w:t>Members</w:t>
            </w:r>
            <w:r w:rsidR="007C6E04">
              <w:rPr>
                <w:rFonts w:cstheme="minorHAnsi"/>
                <w:b/>
                <w:sz w:val="32"/>
                <w:szCs w:val="32"/>
              </w:rPr>
              <w:t>!</w:t>
            </w:r>
          </w:p>
          <w:p w14:paraId="060F93AA" w14:textId="77777777" w:rsidR="00CE1FEF" w:rsidRPr="00A0259C" w:rsidRDefault="00CE1FEF" w:rsidP="007C6E04">
            <w:pPr>
              <w:jc w:val="center"/>
              <w:rPr>
                <w:rFonts w:cstheme="minorHAnsi"/>
                <w:b/>
              </w:rPr>
            </w:pPr>
          </w:p>
          <w:p w14:paraId="109CA538" w14:textId="6CB6D3A2" w:rsidR="00F7518B" w:rsidRPr="0016133F" w:rsidRDefault="00F7518B" w:rsidP="0016133F">
            <w:pPr>
              <w:jc w:val="center"/>
              <w:rPr>
                <w:rFonts w:cstheme="minorHAnsi"/>
                <w:b/>
                <w:sz w:val="32"/>
                <w:szCs w:val="32"/>
              </w:rPr>
            </w:pPr>
            <w:r w:rsidRPr="0016133F">
              <w:rPr>
                <w:rFonts w:cstheme="minorHAnsi"/>
                <w:b/>
                <w:sz w:val="32"/>
                <w:szCs w:val="32"/>
              </w:rPr>
              <w:t xml:space="preserve">RSVP </w:t>
            </w:r>
            <w:r w:rsidR="0016133F">
              <w:rPr>
                <w:rFonts w:cstheme="minorHAnsi"/>
                <w:b/>
                <w:sz w:val="32"/>
                <w:szCs w:val="32"/>
              </w:rPr>
              <w:t xml:space="preserve">by </w:t>
            </w:r>
            <w:r w:rsidR="009E4C03">
              <w:rPr>
                <w:rFonts w:cstheme="minorHAnsi"/>
                <w:b/>
                <w:sz w:val="32"/>
                <w:szCs w:val="32"/>
              </w:rPr>
              <w:t>May</w:t>
            </w:r>
            <w:r w:rsidR="0016133F">
              <w:rPr>
                <w:rFonts w:cstheme="minorHAnsi"/>
                <w:b/>
                <w:sz w:val="32"/>
                <w:szCs w:val="32"/>
              </w:rPr>
              <w:t xml:space="preserve"> 1</w:t>
            </w:r>
            <w:r w:rsidR="009E4C03">
              <w:rPr>
                <w:rFonts w:cstheme="minorHAnsi"/>
                <w:b/>
                <w:sz w:val="32"/>
                <w:szCs w:val="32"/>
              </w:rPr>
              <w:t>6</w:t>
            </w:r>
            <w:r w:rsidR="0016133F" w:rsidRPr="0016133F">
              <w:rPr>
                <w:rFonts w:cstheme="minorHAnsi"/>
                <w:b/>
                <w:sz w:val="32"/>
                <w:szCs w:val="32"/>
                <w:vertAlign w:val="superscript"/>
              </w:rPr>
              <w:t>th</w:t>
            </w:r>
            <w:r w:rsidR="0016133F">
              <w:rPr>
                <w:rFonts w:cstheme="minorHAnsi"/>
                <w:b/>
                <w:sz w:val="32"/>
                <w:szCs w:val="32"/>
              </w:rPr>
              <w:t xml:space="preserve"> @ 5pm using the following link</w:t>
            </w:r>
            <w:r w:rsidR="0016133F" w:rsidRPr="0016133F">
              <w:rPr>
                <w:rFonts w:cstheme="minorHAnsi"/>
                <w:b/>
                <w:sz w:val="32"/>
                <w:szCs w:val="32"/>
              </w:rPr>
              <w:t>: https://stshp.org/meetinginfo.php</w:t>
            </w:r>
          </w:p>
          <w:p w14:paraId="25A31524" w14:textId="77777777" w:rsidR="00F7518B" w:rsidRPr="00F7518B" w:rsidRDefault="00F7518B" w:rsidP="00F7518B">
            <w:pPr>
              <w:jc w:val="center"/>
              <w:rPr>
                <w:rFonts w:cstheme="minorHAnsi"/>
                <w:b/>
                <w:sz w:val="32"/>
                <w:szCs w:val="32"/>
              </w:rPr>
            </w:pPr>
          </w:p>
          <w:p w14:paraId="24399C2D" w14:textId="52021868" w:rsidR="00F7518B" w:rsidRPr="00A0259C" w:rsidRDefault="00F7518B" w:rsidP="0016133F">
            <w:pPr>
              <w:rPr>
                <w:rFonts w:cstheme="minorHAnsi"/>
              </w:rPr>
            </w:pPr>
          </w:p>
        </w:tc>
      </w:tr>
    </w:tbl>
    <w:p w14:paraId="35244E64" w14:textId="2215B361" w:rsidR="00B46CEC" w:rsidRPr="00B46CEC" w:rsidRDefault="00F7518B" w:rsidP="008D1AFC">
      <w:pPr>
        <w:rPr>
          <w:rFonts w:ascii="Lucida Handwriting" w:hAnsi="Lucida Handwriting"/>
          <w:b/>
          <w:sz w:val="40"/>
          <w:szCs w:val="40"/>
        </w:rPr>
      </w:pPr>
      <w:r>
        <w:rPr>
          <w:rFonts w:ascii="Lucida Handwriting" w:hAnsi="Lucida Handwriting"/>
          <w:b/>
          <w:noProof/>
          <w:sz w:val="40"/>
          <w:szCs w:val="40"/>
        </w:rPr>
        <mc:AlternateContent>
          <mc:Choice Requires="wps">
            <w:drawing>
              <wp:anchor distT="0" distB="0" distL="114300" distR="114300" simplePos="0" relativeHeight="251680768" behindDoc="0" locked="0" layoutInCell="1" allowOverlap="1" wp14:anchorId="0A7546A9" wp14:editId="26C2ECE8">
                <wp:simplePos x="0" y="0"/>
                <wp:positionH relativeFrom="column">
                  <wp:posOffset>1083945</wp:posOffset>
                </wp:positionH>
                <wp:positionV relativeFrom="paragraph">
                  <wp:posOffset>113473</wp:posOffset>
                </wp:positionV>
                <wp:extent cx="5800090" cy="1169581"/>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169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AE8ED" w14:textId="335FB18A"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D05F97" w:rsidRPr="00D05F97">
                              <w:rPr>
                                <w:rFonts w:ascii="Arial" w:hAnsi="Arial" w:cs="Arial"/>
                                <w:color w:val="000000"/>
                                <w:sz w:val="16"/>
                                <w:szCs w:val="18"/>
                              </w:rPr>
                              <w:t xml:space="preserve"> </w:t>
                            </w:r>
                            <w:r w:rsidRPr="004A67C4">
                              <w:rPr>
                                <w:sz w:val="16"/>
                                <w:szCs w:val="18"/>
                              </w:rPr>
                              <w:t xml:space="preserve">is approved for </w:t>
                            </w:r>
                            <w:r w:rsidR="005E5DA1">
                              <w:rPr>
                                <w:sz w:val="16"/>
                                <w:szCs w:val="18"/>
                              </w:rPr>
                              <w:t>0.2</w:t>
                            </w:r>
                            <w:r w:rsidR="00DB4848" w:rsidRPr="004A67C4">
                              <w:rPr>
                                <w:sz w:val="16"/>
                                <w:szCs w:val="18"/>
                              </w:rPr>
                              <w:t xml:space="preserve"> </w:t>
                            </w:r>
                            <w:r w:rsidRPr="004A67C4">
                              <w:rPr>
                                <w:sz w:val="16"/>
                                <w:szCs w:val="18"/>
                              </w:rPr>
                              <w:t>CEU’s (</w:t>
                            </w:r>
                            <w:r w:rsidR="005E5DA1">
                              <w:rPr>
                                <w:sz w:val="16"/>
                                <w:szCs w:val="18"/>
                              </w:rPr>
                              <w:t>2</w:t>
                            </w:r>
                            <w:r w:rsidR="00DB4848" w:rsidRPr="004A67C4">
                              <w:rPr>
                                <w:sz w:val="16"/>
                                <w:szCs w:val="18"/>
                              </w:rPr>
                              <w:t xml:space="preserve">.0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85.35pt;margin-top:8.95pt;width:456.7pt;height:9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" filled="f" stroked="f" strokeweight=".5pt">
                <v:textbox>
                  <w:txbxContent>
                    <w:p w14:paraId="793AE8ED" w14:textId="335FB18A"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D05F97" w:rsidRPr="00D05F97">
                        <w:rPr>
                          <w:rFonts w:ascii="Arial" w:hAnsi="Arial" w:cs="Arial"/>
                          <w:color w:val="000000"/>
                          <w:sz w:val="16"/>
                          <w:szCs w:val="18"/>
                        </w:rPr>
                        <w:t xml:space="preserve"> </w:t>
                      </w:r>
                      <w:r w:rsidRPr="004A67C4">
                        <w:rPr>
                          <w:sz w:val="16"/>
                          <w:szCs w:val="18"/>
                        </w:rPr>
                        <w:t xml:space="preserve">is approved for </w:t>
                      </w:r>
                      <w:r w:rsidR="005E5DA1">
                        <w:rPr>
                          <w:sz w:val="16"/>
                          <w:szCs w:val="18"/>
                        </w:rPr>
                        <w:t>0.2</w:t>
                      </w:r>
                      <w:r w:rsidR="00DB4848" w:rsidRPr="004A67C4">
                        <w:rPr>
                          <w:sz w:val="16"/>
                          <w:szCs w:val="18"/>
                        </w:rPr>
                        <w:t xml:space="preserve"> </w:t>
                      </w:r>
                      <w:r w:rsidRPr="004A67C4">
                        <w:rPr>
                          <w:sz w:val="16"/>
                          <w:szCs w:val="18"/>
                        </w:rPr>
                        <w:t>CEU’s (</w:t>
                      </w:r>
                      <w:r w:rsidR="005E5DA1">
                        <w:rPr>
                          <w:sz w:val="16"/>
                          <w:szCs w:val="18"/>
                        </w:rPr>
                        <w:t>2</w:t>
                      </w:r>
                      <w:r w:rsidR="00DB4848" w:rsidRPr="004A67C4">
                        <w:rPr>
                          <w:sz w:val="16"/>
                          <w:szCs w:val="18"/>
                        </w:rPr>
                        <w:t xml:space="preserve">.0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5799BAC2">
            <wp:simplePos x="0" y="0"/>
            <wp:positionH relativeFrom="column">
              <wp:posOffset>367030</wp:posOffset>
            </wp:positionH>
            <wp:positionV relativeFrom="paragraph">
              <wp:posOffset>344067</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9807" w14:textId="77777777" w:rsidR="004A4150" w:rsidRDefault="004A4150" w:rsidP="00C55A61">
      <w:pPr>
        <w:spacing w:after="0" w:line="240" w:lineRule="auto"/>
      </w:pPr>
      <w:r>
        <w:separator/>
      </w:r>
    </w:p>
  </w:endnote>
  <w:endnote w:type="continuationSeparator" w:id="0">
    <w:p w14:paraId="644C34A7" w14:textId="77777777" w:rsidR="004A4150" w:rsidRDefault="004A4150"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586A" w14:textId="77777777" w:rsidR="004A4150" w:rsidRDefault="004A4150" w:rsidP="00C55A61">
      <w:pPr>
        <w:spacing w:after="0" w:line="240" w:lineRule="auto"/>
      </w:pPr>
      <w:r>
        <w:separator/>
      </w:r>
    </w:p>
  </w:footnote>
  <w:footnote w:type="continuationSeparator" w:id="0">
    <w:p w14:paraId="0E2CEF9D" w14:textId="77777777" w:rsidR="004A4150" w:rsidRDefault="004A4150"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E"/>
    <w:rsid w:val="00003234"/>
    <w:rsid w:val="00043BDA"/>
    <w:rsid w:val="000452BD"/>
    <w:rsid w:val="00051697"/>
    <w:rsid w:val="00075B8E"/>
    <w:rsid w:val="00080F66"/>
    <w:rsid w:val="000E10E3"/>
    <w:rsid w:val="000E7BDC"/>
    <w:rsid w:val="0011467E"/>
    <w:rsid w:val="001413A7"/>
    <w:rsid w:val="001541DB"/>
    <w:rsid w:val="0016133F"/>
    <w:rsid w:val="001762FA"/>
    <w:rsid w:val="00177950"/>
    <w:rsid w:val="001A4DBE"/>
    <w:rsid w:val="001E0EA4"/>
    <w:rsid w:val="00224D9A"/>
    <w:rsid w:val="00227E58"/>
    <w:rsid w:val="00272940"/>
    <w:rsid w:val="002775EC"/>
    <w:rsid w:val="002B38DA"/>
    <w:rsid w:val="002C3641"/>
    <w:rsid w:val="002F427B"/>
    <w:rsid w:val="00302251"/>
    <w:rsid w:val="00312B53"/>
    <w:rsid w:val="003218A9"/>
    <w:rsid w:val="00342336"/>
    <w:rsid w:val="003805FF"/>
    <w:rsid w:val="00396DA7"/>
    <w:rsid w:val="003D5C0E"/>
    <w:rsid w:val="00414BED"/>
    <w:rsid w:val="00440C4F"/>
    <w:rsid w:val="00442C31"/>
    <w:rsid w:val="00456370"/>
    <w:rsid w:val="0045743D"/>
    <w:rsid w:val="00483046"/>
    <w:rsid w:val="004848FD"/>
    <w:rsid w:val="0049540C"/>
    <w:rsid w:val="004A1528"/>
    <w:rsid w:val="004A4150"/>
    <w:rsid w:val="004A67C4"/>
    <w:rsid w:val="004A792E"/>
    <w:rsid w:val="004C1F5D"/>
    <w:rsid w:val="004D39C6"/>
    <w:rsid w:val="004E3C09"/>
    <w:rsid w:val="005075D3"/>
    <w:rsid w:val="00520506"/>
    <w:rsid w:val="00522EED"/>
    <w:rsid w:val="005415BD"/>
    <w:rsid w:val="005866E4"/>
    <w:rsid w:val="005C1B92"/>
    <w:rsid w:val="005C2535"/>
    <w:rsid w:val="005E5707"/>
    <w:rsid w:val="005E5DA1"/>
    <w:rsid w:val="005F31C2"/>
    <w:rsid w:val="0061303E"/>
    <w:rsid w:val="0061464A"/>
    <w:rsid w:val="00643863"/>
    <w:rsid w:val="00683E6A"/>
    <w:rsid w:val="006B1E47"/>
    <w:rsid w:val="00707BEA"/>
    <w:rsid w:val="00716A4B"/>
    <w:rsid w:val="00726BB3"/>
    <w:rsid w:val="00745D3F"/>
    <w:rsid w:val="007860D4"/>
    <w:rsid w:val="007C6E04"/>
    <w:rsid w:val="007E0ED7"/>
    <w:rsid w:val="00815504"/>
    <w:rsid w:val="00833D48"/>
    <w:rsid w:val="00856A84"/>
    <w:rsid w:val="00861310"/>
    <w:rsid w:val="00870535"/>
    <w:rsid w:val="00875DD3"/>
    <w:rsid w:val="008C05E3"/>
    <w:rsid w:val="008C2D79"/>
    <w:rsid w:val="008C5139"/>
    <w:rsid w:val="008D1AFC"/>
    <w:rsid w:val="008F112C"/>
    <w:rsid w:val="0092053B"/>
    <w:rsid w:val="009243CA"/>
    <w:rsid w:val="009352A9"/>
    <w:rsid w:val="009372ED"/>
    <w:rsid w:val="00971E3D"/>
    <w:rsid w:val="00975A37"/>
    <w:rsid w:val="009E003A"/>
    <w:rsid w:val="009E4C03"/>
    <w:rsid w:val="00A0259C"/>
    <w:rsid w:val="00A36C75"/>
    <w:rsid w:val="00A371E6"/>
    <w:rsid w:val="00A57C11"/>
    <w:rsid w:val="00A85122"/>
    <w:rsid w:val="00AD2C25"/>
    <w:rsid w:val="00AD3331"/>
    <w:rsid w:val="00B0624E"/>
    <w:rsid w:val="00B363B2"/>
    <w:rsid w:val="00B46CEC"/>
    <w:rsid w:val="00BB732C"/>
    <w:rsid w:val="00BD6F45"/>
    <w:rsid w:val="00BD7DDB"/>
    <w:rsid w:val="00C05AEE"/>
    <w:rsid w:val="00C31DEA"/>
    <w:rsid w:val="00C55A61"/>
    <w:rsid w:val="00CE1FEF"/>
    <w:rsid w:val="00D05F97"/>
    <w:rsid w:val="00D101BC"/>
    <w:rsid w:val="00D14384"/>
    <w:rsid w:val="00D613D4"/>
    <w:rsid w:val="00D616F9"/>
    <w:rsid w:val="00D82B7E"/>
    <w:rsid w:val="00D91099"/>
    <w:rsid w:val="00DB4848"/>
    <w:rsid w:val="00DB52CD"/>
    <w:rsid w:val="00DC7059"/>
    <w:rsid w:val="00DC74BD"/>
    <w:rsid w:val="00DE6E81"/>
    <w:rsid w:val="00E052B0"/>
    <w:rsid w:val="00E1257F"/>
    <w:rsid w:val="00E17E7A"/>
    <w:rsid w:val="00E3250C"/>
    <w:rsid w:val="00E52D9C"/>
    <w:rsid w:val="00E60EDD"/>
    <w:rsid w:val="00E760C2"/>
    <w:rsid w:val="00E8611E"/>
    <w:rsid w:val="00E94EDC"/>
    <w:rsid w:val="00EE67F5"/>
    <w:rsid w:val="00EF1EB4"/>
    <w:rsid w:val="00F43763"/>
    <w:rsid w:val="00F52C7D"/>
    <w:rsid w:val="00F64E2A"/>
    <w:rsid w:val="00F7518B"/>
    <w:rsid w:val="00F90CAE"/>
    <w:rsid w:val="00F912F5"/>
    <w:rsid w:val="00F91F7E"/>
    <w:rsid w:val="00FB6E09"/>
    <w:rsid w:val="00FC0528"/>
    <w:rsid w:val="00FE3291"/>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CB936FDA-F9EE-8541-BAFE-C2D78B64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A02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 w:id="1683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Rachel Klosko</cp:lastModifiedBy>
  <cp:revision>3</cp:revision>
  <cp:lastPrinted>2017-05-02T20:14:00Z</cp:lastPrinted>
  <dcterms:created xsi:type="dcterms:W3CDTF">2024-03-08T13:54:00Z</dcterms:created>
  <dcterms:modified xsi:type="dcterms:W3CDTF">2024-03-08T13:55:00Z</dcterms:modified>
</cp:coreProperties>
</file>